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8F24BC" w:rsidRPr="00D07504" w:rsidRDefault="00D07504" w:rsidP="007D5B7E">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A22667" w:rsidRDefault="008F24BC" w:rsidP="003F76A4">
      <w:pPr>
        <w:autoSpaceDE w:val="0"/>
        <w:autoSpaceDN w:val="0"/>
        <w:adjustRightInd w:val="0"/>
        <w:spacing w:after="0" w:line="240" w:lineRule="auto"/>
        <w:ind w:firstLine="709"/>
        <w:jc w:val="both"/>
        <w:rPr>
          <w:rFonts w:ascii="Times New Roman" w:hAnsi="Times New Roman" w:cs="Times New Roman"/>
          <w:b/>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107369" w:rsidRPr="00107369">
        <w:rPr>
          <w:rFonts w:ascii="Times New Roman" w:hAnsi="Times New Roman" w:cs="Times New Roman"/>
          <w:color w:val="000000" w:themeColor="text1"/>
          <w:sz w:val="24"/>
          <w:szCs w:val="24"/>
        </w:rPr>
        <w:t>работы по объекту:</w:t>
      </w:r>
      <w:r w:rsidR="00107369">
        <w:rPr>
          <w:rFonts w:ascii="Times New Roman" w:hAnsi="Times New Roman" w:cs="Times New Roman"/>
          <w:color w:val="000000" w:themeColor="text1"/>
          <w:sz w:val="24"/>
          <w:szCs w:val="24"/>
        </w:rPr>
        <w:t xml:space="preserve"> </w:t>
      </w:r>
      <w:bookmarkStart w:id="0" w:name="_GoBack"/>
      <w:bookmarkEnd w:id="0"/>
      <w:r w:rsidR="003F76A4" w:rsidRPr="00107369">
        <w:rPr>
          <w:rFonts w:ascii="Times New Roman" w:hAnsi="Times New Roman" w:cs="Times New Roman"/>
          <w:color w:val="000000" w:themeColor="text1"/>
          <w:sz w:val="24"/>
          <w:szCs w:val="24"/>
        </w:rPr>
        <w:t>«</w:t>
      </w:r>
      <w:r w:rsidR="00D73CC1" w:rsidRPr="00D73CC1">
        <w:rPr>
          <w:rFonts w:ascii="Times New Roman" w:hAnsi="Times New Roman" w:cs="Times New Roman"/>
          <w:i/>
          <w:sz w:val="24"/>
          <w:szCs w:val="24"/>
          <w:u w:val="single"/>
        </w:rPr>
        <w:t xml:space="preserve">Капитальный ремонт линии канализационной хозяйственно-фекальной внутриквартальной, расположенной по адресу: </w:t>
      </w:r>
      <w:proofErr w:type="gramStart"/>
      <w:r w:rsidR="00D73CC1" w:rsidRPr="00D73CC1">
        <w:rPr>
          <w:rFonts w:ascii="Times New Roman" w:hAnsi="Times New Roman" w:cs="Times New Roman"/>
          <w:i/>
          <w:sz w:val="24"/>
          <w:szCs w:val="24"/>
          <w:u w:val="single"/>
        </w:rPr>
        <w:t>Ново-Садовая, 23</w:t>
      </w:r>
      <w:r w:rsidR="00D73CC1">
        <w:rPr>
          <w:rFonts w:ascii="Times New Roman" w:hAnsi="Times New Roman" w:cs="Times New Roman"/>
          <w:i/>
          <w:sz w:val="24"/>
          <w:szCs w:val="24"/>
          <w:u w:val="single"/>
        </w:rPr>
        <w:t>»</w:t>
      </w:r>
      <w:r w:rsidR="00D73CC1" w:rsidRPr="00D73CC1">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00D73CC1">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 xml:space="preserve">Цена подлежащей выполнению по Договору работы определяется </w:t>
      </w:r>
      <w:proofErr w:type="gramStart"/>
      <w:r w:rsidR="00656E9D" w:rsidRPr="00656E9D">
        <w:rPr>
          <w:rFonts w:ascii="Times New Roman" w:hAnsi="Times New Roman" w:cs="Times New Roman"/>
          <w:sz w:val="24"/>
          <w:szCs w:val="24"/>
        </w:rPr>
        <w:t>на</w:t>
      </w:r>
      <w:proofErr w:type="gramEnd"/>
      <w:r w:rsidR="00656E9D" w:rsidRPr="00656E9D">
        <w:rPr>
          <w:rFonts w:ascii="Times New Roman" w:hAnsi="Times New Roman" w:cs="Times New Roman"/>
          <w:sz w:val="24"/>
          <w:szCs w:val="24"/>
        </w:rPr>
        <w:t xml:space="preserve"> </w:t>
      </w:r>
      <w:proofErr w:type="gramStart"/>
      <w:r w:rsidR="00656E9D" w:rsidRPr="00656E9D">
        <w:rPr>
          <w:rFonts w:ascii="Times New Roman" w:hAnsi="Times New Roman" w:cs="Times New Roman"/>
          <w:sz w:val="24"/>
          <w:szCs w:val="24"/>
        </w:rPr>
        <w:t>основании</w:t>
      </w:r>
      <w:proofErr w:type="gramEnd"/>
      <w:r w:rsidR="00656E9D" w:rsidRPr="00656E9D">
        <w:rPr>
          <w:rFonts w:ascii="Times New Roman" w:hAnsi="Times New Roman" w:cs="Times New Roman"/>
          <w:sz w:val="24"/>
          <w:szCs w:val="24"/>
        </w:rPr>
        <w:t xml:space="preserve"> Сметного расчета стоимости работ (Приложение </w:t>
      </w:r>
      <w:r w:rsidR="00D73CC1">
        <w:rPr>
          <w:rFonts w:ascii="Times New Roman" w:hAnsi="Times New Roman" w:cs="Times New Roman"/>
          <w:sz w:val="24"/>
          <w:szCs w:val="24"/>
        </w:rPr>
        <w:t>№</w:t>
      </w:r>
      <w:r w:rsidR="0069099D" w:rsidRPr="0069099D">
        <w:rPr>
          <w:rFonts w:ascii="Times New Roman" w:hAnsi="Times New Roman" w:cs="Times New Roman"/>
          <w:sz w:val="24"/>
          <w:szCs w:val="24"/>
        </w:rPr>
        <w:t xml:space="preserve"> 2 </w:t>
      </w:r>
      <w:r w:rsidR="00656E9D" w:rsidRPr="00656E9D">
        <w:rPr>
          <w:rFonts w:ascii="Times New Roman" w:hAnsi="Times New Roman" w:cs="Times New Roman"/>
          <w:sz w:val="24"/>
          <w:szCs w:val="24"/>
        </w:rPr>
        <w:t xml:space="preserve">к Договору) и составляет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07369"/>
    <w:rsid w:val="00125D35"/>
    <w:rsid w:val="00147281"/>
    <w:rsid w:val="00152126"/>
    <w:rsid w:val="00155B22"/>
    <w:rsid w:val="00163137"/>
    <w:rsid w:val="001833C2"/>
    <w:rsid w:val="001C1BFC"/>
    <w:rsid w:val="001C44B4"/>
    <w:rsid w:val="002011F6"/>
    <w:rsid w:val="0020651B"/>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3F76A4"/>
    <w:rsid w:val="00421096"/>
    <w:rsid w:val="00436808"/>
    <w:rsid w:val="0045197B"/>
    <w:rsid w:val="00453AF3"/>
    <w:rsid w:val="0048430A"/>
    <w:rsid w:val="004861C8"/>
    <w:rsid w:val="004C521D"/>
    <w:rsid w:val="004D5EF3"/>
    <w:rsid w:val="004E5194"/>
    <w:rsid w:val="004E7B4D"/>
    <w:rsid w:val="00513ADA"/>
    <w:rsid w:val="005216AE"/>
    <w:rsid w:val="00530F89"/>
    <w:rsid w:val="005363F0"/>
    <w:rsid w:val="00544892"/>
    <w:rsid w:val="005619A1"/>
    <w:rsid w:val="00567C03"/>
    <w:rsid w:val="005814CF"/>
    <w:rsid w:val="00593977"/>
    <w:rsid w:val="005A633B"/>
    <w:rsid w:val="005C2433"/>
    <w:rsid w:val="005C3700"/>
    <w:rsid w:val="005C71F5"/>
    <w:rsid w:val="005D1F62"/>
    <w:rsid w:val="005F28AE"/>
    <w:rsid w:val="00601A7A"/>
    <w:rsid w:val="00615DE1"/>
    <w:rsid w:val="00656E9D"/>
    <w:rsid w:val="00665CBE"/>
    <w:rsid w:val="00670C45"/>
    <w:rsid w:val="00670F79"/>
    <w:rsid w:val="006866C4"/>
    <w:rsid w:val="0069099D"/>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D5B7E"/>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1330D"/>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73CC1"/>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10711364">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49D38-77A4-4AFB-9E45-DB0B7EB3A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15</Pages>
  <Words>7100</Words>
  <Characters>40473</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28</cp:revision>
  <dcterms:created xsi:type="dcterms:W3CDTF">2023-01-25T08:14:00Z</dcterms:created>
  <dcterms:modified xsi:type="dcterms:W3CDTF">2023-08-09T10:33:00Z</dcterms:modified>
</cp:coreProperties>
</file>